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48" w:rsidRDefault="005268B6" w:rsidP="005268B6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hatósági ügyek intézésének rendjével kapcsolatos adatok</w:t>
      </w:r>
    </w:p>
    <w:p w:rsidR="005268B6" w:rsidRDefault="005268B6" w:rsidP="005268B6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5268B6" w:rsidRDefault="005268B6" w:rsidP="005268B6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5268B6" w:rsidRDefault="005268B6" w:rsidP="00CE3E50">
      <w:pPr>
        <w:pStyle w:val="Nincstrkz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E50">
        <w:rPr>
          <w:rFonts w:ascii="Times New Roman" w:hAnsi="Times New Roman" w:cs="Times New Roman"/>
          <w:b/>
          <w:sz w:val="24"/>
          <w:szCs w:val="24"/>
        </w:rPr>
        <w:t>Önkormányzati hatósági ügyek</w:t>
      </w:r>
    </w:p>
    <w:p w:rsidR="00CE3E50" w:rsidRPr="00CE3E50" w:rsidRDefault="00CE3E50" w:rsidP="00CE3E5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(polgármester vagy képviselő-testület hatásköre)</w:t>
      </w:r>
    </w:p>
    <w:p w:rsidR="005268B6" w:rsidRDefault="005268B6" w:rsidP="005268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268B6" w:rsidRDefault="005268B6" w:rsidP="005268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 </w:t>
      </w:r>
      <w:hyperlink r:id="rId5" w:history="1">
        <w:r w:rsidRPr="00886CA5">
          <w:rPr>
            <w:rStyle w:val="Hiperhivatkozs"/>
            <w:rFonts w:ascii="Times New Roman" w:hAnsi="Times New Roman" w:cs="Times New Roman"/>
            <w:sz w:val="24"/>
            <w:szCs w:val="24"/>
          </w:rPr>
          <w:t>www.njt.hu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oldalon elérhető </w:t>
      </w:r>
      <w:r w:rsidRPr="005268B6">
        <w:rPr>
          <w:rFonts w:ascii="Times New Roman" w:hAnsi="Times New Roman" w:cs="Times New Roman"/>
          <w:sz w:val="24"/>
          <w:szCs w:val="24"/>
        </w:rPr>
        <w:t>pénzbeli és természetben nyújtható szociális, valamint a személyes gondoskodást nyújtó ellátásokról</w:t>
      </w:r>
      <w:r>
        <w:rPr>
          <w:rFonts w:ascii="Times New Roman" w:hAnsi="Times New Roman" w:cs="Times New Roman"/>
          <w:sz w:val="24"/>
          <w:szCs w:val="24"/>
        </w:rPr>
        <w:t xml:space="preserve"> szóló rendelete. Az abban foglalt települési támogatás igényléséhez szükséges kérelem nyomtatvány személyesen a polgármestertől, vagy a Regenyei Közös Önkormányzati Hivatal ügyfélszolgálatáról, vagy elektronikusan a </w:t>
      </w:r>
      <w:hyperlink r:id="rId6" w:history="1">
        <w:r w:rsidRPr="00886CA5">
          <w:rPr>
            <w:rStyle w:val="Hiperhivatkozs"/>
            <w:rFonts w:ascii="Times New Roman" w:hAnsi="Times New Roman" w:cs="Times New Roman"/>
            <w:sz w:val="24"/>
            <w:szCs w:val="24"/>
          </w:rPr>
          <w:t>gorcsony@t-online.hu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címről igényelhető. </w:t>
      </w:r>
    </w:p>
    <w:p w:rsidR="00477FB1" w:rsidRDefault="00477FB1" w:rsidP="005268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77FB1" w:rsidRDefault="00477FB1" w:rsidP="00CE3E50">
      <w:pPr>
        <w:pStyle w:val="Nincstrkz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E50">
        <w:rPr>
          <w:rFonts w:ascii="Times New Roman" w:hAnsi="Times New Roman" w:cs="Times New Roman"/>
          <w:b/>
          <w:sz w:val="24"/>
          <w:szCs w:val="24"/>
        </w:rPr>
        <w:t>Államigazgatási hatósági ügyek:</w:t>
      </w:r>
    </w:p>
    <w:p w:rsidR="00CE3E50" w:rsidRDefault="00CE3E50" w:rsidP="00CE3E50">
      <w:pPr>
        <w:pStyle w:val="Nincstrkz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(jegyzői hatáskörök)</w:t>
      </w:r>
    </w:p>
    <w:p w:rsidR="00477FB1" w:rsidRDefault="00477FB1" w:rsidP="00477FB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77FB1" w:rsidRPr="00CE3E50" w:rsidRDefault="00477FB1" w:rsidP="00477FB1">
      <w:pPr>
        <w:pStyle w:val="Nincstrkz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50">
        <w:rPr>
          <w:rFonts w:ascii="Times New Roman" w:hAnsi="Times New Roman" w:cs="Times New Roman"/>
          <w:b/>
          <w:sz w:val="24"/>
          <w:szCs w:val="24"/>
        </w:rPr>
        <w:t>Adóügyek</w:t>
      </w:r>
    </w:p>
    <w:p w:rsidR="00477FB1" w:rsidRDefault="00786E15" w:rsidP="00786E1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86E15">
        <w:rPr>
          <w:rFonts w:ascii="Times New Roman" w:hAnsi="Times New Roman" w:cs="Times New Roman"/>
          <w:sz w:val="24"/>
          <w:szCs w:val="24"/>
        </w:rPr>
        <w:t xml:space="preserve">Az elektronikus ügyintézés és a bizalmi szolgáltatások általános szabályairól szóló 2015. évi CCXXII. törvény (továbbiakban: </w:t>
      </w:r>
      <w:proofErr w:type="spellStart"/>
      <w:r w:rsidRPr="00786E15">
        <w:rPr>
          <w:rFonts w:ascii="Times New Roman" w:hAnsi="Times New Roman" w:cs="Times New Roman"/>
          <w:sz w:val="24"/>
          <w:szCs w:val="24"/>
        </w:rPr>
        <w:t>Eüsz</w:t>
      </w:r>
      <w:proofErr w:type="spellEnd"/>
      <w:r w:rsidRPr="00786E15">
        <w:rPr>
          <w:rFonts w:ascii="Times New Roman" w:hAnsi="Times New Roman" w:cs="Times New Roman"/>
          <w:sz w:val="24"/>
          <w:szCs w:val="24"/>
        </w:rPr>
        <w:t xml:space="preserve"> tv.) az elektronikus ügyintézést biztosító szerv és az ügyfél elektronikus kapcsolatának általános szabályait, továbbá az elektronikus ügyintézést biztosító, valamint egyéb szervek informatikai együttműködésével kapcsolatos rendelkezéseit tartalmazza.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E15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786E15">
        <w:rPr>
          <w:rFonts w:ascii="Times New Roman" w:hAnsi="Times New Roman" w:cs="Times New Roman"/>
          <w:sz w:val="24"/>
          <w:szCs w:val="24"/>
        </w:rPr>
        <w:t>Eüsz</w:t>
      </w:r>
      <w:proofErr w:type="spellEnd"/>
      <w:r w:rsidRPr="00786E15">
        <w:rPr>
          <w:rFonts w:ascii="Times New Roman" w:hAnsi="Times New Roman" w:cs="Times New Roman"/>
          <w:sz w:val="24"/>
          <w:szCs w:val="24"/>
        </w:rPr>
        <w:t xml:space="preserve"> tv. 1.§ 17. b) pontja alapján a helyi önkormányzat és a polgármesteri hivatal elektronikus ügyintézést biztosító szerv, amely 2018. január 1. napjától köteles az ügyek elektronikus intézését az E-ügyintézési tv-ben meghatározottak szerint biztosítani.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E15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786E15">
        <w:rPr>
          <w:rFonts w:ascii="Times New Roman" w:hAnsi="Times New Roman" w:cs="Times New Roman"/>
          <w:sz w:val="24"/>
          <w:szCs w:val="24"/>
        </w:rPr>
        <w:t>Eüsz</w:t>
      </w:r>
      <w:proofErr w:type="spellEnd"/>
      <w:r w:rsidRPr="00786E15">
        <w:rPr>
          <w:rFonts w:ascii="Times New Roman" w:hAnsi="Times New Roman" w:cs="Times New Roman"/>
          <w:sz w:val="24"/>
          <w:szCs w:val="24"/>
        </w:rPr>
        <w:t xml:space="preserve"> tv. 9.§ (1) </w:t>
      </w:r>
      <w:proofErr w:type="spellStart"/>
      <w:r w:rsidRPr="00786E15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786E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86E1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86E15">
        <w:rPr>
          <w:rFonts w:ascii="Times New Roman" w:hAnsi="Times New Roman" w:cs="Times New Roman"/>
          <w:sz w:val="24"/>
          <w:szCs w:val="24"/>
        </w:rPr>
        <w:t>) és b) pontja alapján 2018. január 1. napjától elektronikus ügyintézésre köteles az ügyfélként eljáró gazdálkodó szervezet, valamint az ügyfél jogi képviselője.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E15">
        <w:rPr>
          <w:rFonts w:ascii="Times New Roman" w:hAnsi="Times New Roman" w:cs="Times New Roman"/>
          <w:sz w:val="24"/>
          <w:szCs w:val="24"/>
        </w:rPr>
        <w:t>Felhívjuk a tisztelt adófizetőink figyelmét, hogy 2018. január 1-jét követően a gazdasági társaságok, az egyéni cégek és az egyéni vállalkozók kizárólag elektronikus úton indíthatnak adóigazgatási eljárást!</w:t>
      </w:r>
    </w:p>
    <w:p w:rsidR="00786E15" w:rsidRDefault="00786E15" w:rsidP="00786E1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86E15" w:rsidRDefault="00786E15" w:rsidP="00786E1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77FB1" w:rsidRPr="00CE3E50" w:rsidRDefault="00477FB1" w:rsidP="00477FB1">
      <w:pPr>
        <w:pStyle w:val="Nincstrkz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50">
        <w:rPr>
          <w:rFonts w:ascii="Times New Roman" w:hAnsi="Times New Roman" w:cs="Times New Roman"/>
          <w:b/>
          <w:sz w:val="24"/>
          <w:szCs w:val="24"/>
        </w:rPr>
        <w:t>Általános igazgatás</w:t>
      </w:r>
    </w:p>
    <w:p w:rsidR="00477FB1" w:rsidRDefault="00477FB1" w:rsidP="00613747">
      <w:pPr>
        <w:pStyle w:val="Nincstrkz"/>
        <w:numPr>
          <w:ilvl w:val="2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7FB1">
        <w:rPr>
          <w:rFonts w:ascii="Times New Roman" w:hAnsi="Times New Roman" w:cs="Times New Roman"/>
          <w:b/>
          <w:sz w:val="24"/>
          <w:szCs w:val="24"/>
          <w:u w:val="single"/>
        </w:rPr>
        <w:t xml:space="preserve">Birtokvédelem: </w:t>
      </w:r>
      <w:r w:rsidRPr="00477FB1">
        <w:rPr>
          <w:rFonts w:ascii="Times New Roman" w:hAnsi="Times New Roman" w:cs="Times New Roman"/>
          <w:sz w:val="24"/>
          <w:szCs w:val="24"/>
        </w:rPr>
        <w:t>A birtokost birtokvédelem illeti meg, ha birtokától jogalap nélkül megfosztják, vagy birtoklásában jogalap nélkül háborítják (tilos önhatalom).</w:t>
      </w:r>
      <w:r w:rsidRPr="00477FB1">
        <w:rPr>
          <w:rFonts w:ascii="Times New Roman" w:hAnsi="Times New Roman" w:cs="Times New Roman"/>
          <w:sz w:val="24"/>
          <w:szCs w:val="24"/>
        </w:rPr>
        <w:br/>
        <w:t>A birtokos a</w:t>
      </w:r>
      <w:r w:rsidR="00CE3E50">
        <w:rPr>
          <w:rFonts w:ascii="Times New Roman" w:hAnsi="Times New Roman" w:cs="Times New Roman"/>
          <w:sz w:val="24"/>
          <w:szCs w:val="24"/>
        </w:rPr>
        <w:t xml:space="preserve">z illetékes </w:t>
      </w:r>
      <w:r w:rsidRPr="00477FB1">
        <w:rPr>
          <w:rFonts w:ascii="Times New Roman" w:hAnsi="Times New Roman" w:cs="Times New Roman"/>
          <w:sz w:val="24"/>
          <w:szCs w:val="24"/>
        </w:rPr>
        <w:t>jegyzőtől egy éven belül kérheti az eredeti birtokállapot helyreállítását vagy a zavarás megszüntetését.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FB1">
        <w:rPr>
          <w:rFonts w:ascii="Times New Roman" w:hAnsi="Times New Roman" w:cs="Times New Roman"/>
          <w:sz w:val="24"/>
          <w:szCs w:val="24"/>
        </w:rPr>
        <w:t>A birtokvédelmi kérelmet annál a jegyzőnél lehet írásban vagy szóban előterjeszteni, amelynek illetékességi területén a birtoksértő magatartás megvalósul. A szóban előterjesztett kérelmet írásba kell foglalni.</w:t>
      </w:r>
      <w:r w:rsidRPr="00477FB1">
        <w:rPr>
          <w:rFonts w:ascii="Times New Roman" w:hAnsi="Times New Roman" w:cs="Times New Roman"/>
          <w:sz w:val="24"/>
          <w:szCs w:val="24"/>
        </w:rPr>
        <w:br/>
        <w:t>A felek a bizonyítási eljárás során bármikor írásban vagy szóban nyilatkozatot tehetnek. Tanúként az hallgatható meg, aki a birtokvédelmi eljárással összefüggésben tanúvallomást kíván tenni, és akitől bizonyítékként értékelhető vallomás várható.</w:t>
      </w:r>
      <w:r w:rsidRPr="00477FB1">
        <w:rPr>
          <w:rFonts w:ascii="Times New Roman" w:hAnsi="Times New Roman" w:cs="Times New Roman"/>
          <w:sz w:val="24"/>
          <w:szCs w:val="24"/>
        </w:rPr>
        <w:br/>
        <w:t>A jegyző a birtokvédelmi eljárást 15, tolmács igénybevétele esetén 30 napon belül folytatja 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FB1">
        <w:rPr>
          <w:rFonts w:ascii="Times New Roman" w:hAnsi="Times New Roman" w:cs="Times New Roman"/>
          <w:sz w:val="24"/>
          <w:szCs w:val="24"/>
        </w:rPr>
        <w:t>A birtokvita eldöntéséhez szükséges tényeket annak a félnek kell bizonyítania, akinek érdekében áll, hogy azokat a jegyző valósnak fogadja el. A fél a bizonyítékokat a bizonyítási eljárás befejezéséig bármikor előterjesztheti.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FB1">
        <w:rPr>
          <w:rFonts w:ascii="Times New Roman" w:hAnsi="Times New Roman" w:cs="Times New Roman"/>
          <w:sz w:val="24"/>
          <w:szCs w:val="24"/>
        </w:rPr>
        <w:br/>
        <w:t>A jegyző elrendeli az eredeti birtokállapot helyreállítását és a birtoksértőt a birtoksértő magatartástól eltiltja; kivéve, ha nyilvánvaló, hogy az, aki birtokvédelmet kért, nem jogosult a birtoklásra vagy birtoklásának megzavarását tűrni volt köteles. A jegyző - kérelemre - jogosult a hasznok, a károk és a költségek kérdésében is határozni.</w:t>
      </w:r>
      <w:r w:rsidRPr="00477FB1">
        <w:rPr>
          <w:rFonts w:ascii="Times New Roman" w:hAnsi="Times New Roman" w:cs="Times New Roman"/>
          <w:sz w:val="24"/>
          <w:szCs w:val="24"/>
        </w:rPr>
        <w:br/>
        <w:t>Az a fél, aki a jegyző birtokvédelem kérdésében hozott határozatát sérelmesnek tartja, a határozat kézbesítésétől számított tizenöt napon belül a bíróságtól a másik féllel szemben indított perben kérheti a határozat megváltoztatását.</w:t>
      </w:r>
      <w:r w:rsidRPr="00477FB1">
        <w:rPr>
          <w:rFonts w:ascii="Times New Roman" w:hAnsi="Times New Roman" w:cs="Times New Roman"/>
          <w:sz w:val="24"/>
          <w:szCs w:val="24"/>
        </w:rPr>
        <w:br/>
      </w:r>
      <w:r w:rsidRPr="00477FB1">
        <w:rPr>
          <w:rFonts w:ascii="Times New Roman" w:hAnsi="Times New Roman" w:cs="Times New Roman"/>
          <w:sz w:val="24"/>
          <w:szCs w:val="24"/>
        </w:rPr>
        <w:lastRenderedPageBreak/>
        <w:t>A keresetlevélnek a polgári perrendtartásról szóló 1952. évi III. törvény 121. §</w:t>
      </w:r>
      <w:proofErr w:type="spellStart"/>
      <w:r w:rsidRPr="00477FB1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477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77FB1">
        <w:rPr>
          <w:rFonts w:ascii="Times New Roman" w:hAnsi="Times New Roman" w:cs="Times New Roman"/>
          <w:sz w:val="24"/>
          <w:szCs w:val="24"/>
        </w:rPr>
        <w:t>eghatározottakon túl tartalmaznia kell: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FB1" w:rsidRDefault="00477FB1" w:rsidP="00477FB1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FB1">
        <w:rPr>
          <w:rFonts w:ascii="Times New Roman" w:hAnsi="Times New Roman" w:cs="Times New Roman"/>
          <w:sz w:val="24"/>
          <w:szCs w:val="24"/>
        </w:rPr>
        <w:t>a megváltoztatni kért birtokvédelmi határozatot hozó jegyző által vezetett hivatal megnevezését és a birtokvédelmi határozat számát,</w:t>
      </w:r>
    </w:p>
    <w:p w:rsidR="00477FB1" w:rsidRPr="00477FB1" w:rsidRDefault="00477FB1" w:rsidP="00477FB1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FB1">
        <w:rPr>
          <w:rFonts w:ascii="Times New Roman" w:hAnsi="Times New Roman" w:cs="Times New Roman"/>
          <w:sz w:val="24"/>
          <w:szCs w:val="24"/>
        </w:rPr>
        <w:t>az arra való utalást, ha a birtokvédelmi határozat meghozatala iránti eljárásban a jogi képviselő olyan meghatalmazást csatolt, amely a per vitelére is vonatkozik. A keresetlevelet a birtokvédelmi határozatot hozó jegyzőhöz kell benyújtani. A jegyző a keresetlevelet az ügy irataival együtt nyolc napon belül a bírósághoz felterjeszti.</w:t>
      </w:r>
      <w:r w:rsidRPr="00477FB1">
        <w:rPr>
          <w:rFonts w:ascii="Times New Roman" w:hAnsi="Times New Roman" w:cs="Times New Roman"/>
          <w:sz w:val="24"/>
          <w:szCs w:val="24"/>
        </w:rPr>
        <w:br/>
        <w:t>Ha a fél a keresetlevél benyújtására megállapított határidőt elmulasztotta, igazolással élhet. Az igazolási kérelem tárgyában a bíróság határoz. A jegyző a hozzá elkésetten benyújtott keresetlevelet nem utasíthatja el, hanem azt a bírósághoz kell felterjesztenie, abban az esetben is, ha a fél igazolási kérelmet nem terjesztett elő. A perre a birtokvédelmi határozatot hozó jegyző székhelye szerinti bíróság illetékes.</w:t>
      </w:r>
      <w:r w:rsidRPr="00477FB1">
        <w:rPr>
          <w:rFonts w:ascii="Times New Roman" w:hAnsi="Times New Roman" w:cs="Times New Roman"/>
          <w:sz w:val="24"/>
          <w:szCs w:val="24"/>
        </w:rPr>
        <w:br/>
        <w:t>Ha a fél a keresetlevelet a perre hatáskörrel és illetékességgel rendelkező bírósághoz nyújtja be és a birtokvédelmi eljárás azonosításához szükséges adatok rendelkezésre állnak, a bíróság a keresetlevél beérkezésétől számított nyolc napon belül megkeresi az ügyben eljárt jegyzőt az iratok felterjesztése iránt. A jegyző a bíróság megkeresésének nyolc napon belül köteles eleget tenni.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FB1">
        <w:rPr>
          <w:rFonts w:ascii="Times New Roman" w:hAnsi="Times New Roman" w:cs="Times New Roman"/>
          <w:sz w:val="24"/>
          <w:szCs w:val="24"/>
        </w:rPr>
        <w:t>A keresetlevelet határidőben benyújtottnak kell tekinteni, ha azt a Polgári Törvénykönyvben meghatározott keresetindítási határidő alatt a bírósághoz benyújtották.</w:t>
      </w:r>
    </w:p>
    <w:p w:rsidR="00477FB1" w:rsidRPr="00477FB1" w:rsidRDefault="00477FB1" w:rsidP="00477FB1">
      <w:pPr>
        <w:pStyle w:val="Nincstrkz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FB1">
        <w:rPr>
          <w:rFonts w:ascii="Times New Roman" w:hAnsi="Times New Roman" w:cs="Times New Roman"/>
          <w:b/>
          <w:bCs/>
          <w:sz w:val="24"/>
          <w:szCs w:val="24"/>
        </w:rPr>
        <w:t>Ki jogosult az eljárásra?</w:t>
      </w:r>
    </w:p>
    <w:p w:rsidR="00477FB1" w:rsidRPr="00477FB1" w:rsidRDefault="00477FB1" w:rsidP="00477FB1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7FB1">
        <w:rPr>
          <w:rFonts w:ascii="Times New Roman" w:hAnsi="Times New Roman" w:cs="Times New Roman"/>
          <w:sz w:val="24"/>
          <w:szCs w:val="24"/>
        </w:rPr>
        <w:t>Az ügyindításra jogosult a birtokos, ha birtokától jogalap nélkül megfosztják, vagy birtoklásában jogalap nélkül háborítják (tilos önhatalom). A birtokost a birtokvédelem mindenkivel szemben megilleti, annak kivételével, akitől a birtokot tilos önhatalommal szerezte meg.</w:t>
      </w:r>
    </w:p>
    <w:p w:rsidR="00477FB1" w:rsidRPr="00477FB1" w:rsidRDefault="00477FB1" w:rsidP="00477FB1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7FB1">
        <w:rPr>
          <w:rFonts w:ascii="Times New Roman" w:hAnsi="Times New Roman" w:cs="Times New Roman"/>
          <w:sz w:val="24"/>
          <w:szCs w:val="24"/>
        </w:rPr>
        <w:t xml:space="preserve">Kizáró okok: Az </w:t>
      </w:r>
      <w:proofErr w:type="spellStart"/>
      <w:r w:rsidRPr="00477FB1">
        <w:rPr>
          <w:rFonts w:ascii="Times New Roman" w:hAnsi="Times New Roman" w:cs="Times New Roman"/>
          <w:sz w:val="24"/>
          <w:szCs w:val="24"/>
        </w:rPr>
        <w:t>albirtokos</w:t>
      </w:r>
      <w:proofErr w:type="spellEnd"/>
      <w:r w:rsidRPr="00477FB1">
        <w:rPr>
          <w:rFonts w:ascii="Times New Roman" w:hAnsi="Times New Roman" w:cs="Times New Roman"/>
          <w:sz w:val="24"/>
          <w:szCs w:val="24"/>
        </w:rPr>
        <w:t xml:space="preserve"> jogcíme szerint részesül birtokvédelemben a főbirtokossal szemben.</w:t>
      </w:r>
    </w:p>
    <w:p w:rsidR="00477FB1" w:rsidRPr="00477FB1" w:rsidRDefault="00477FB1" w:rsidP="00477FB1">
      <w:pPr>
        <w:pStyle w:val="Nincstrkz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FB1">
        <w:rPr>
          <w:rFonts w:ascii="Times New Roman" w:hAnsi="Times New Roman" w:cs="Times New Roman"/>
          <w:b/>
          <w:bCs/>
          <w:sz w:val="24"/>
          <w:szCs w:val="24"/>
        </w:rPr>
        <w:t>Milyen adatokat kell megadni?</w:t>
      </w:r>
    </w:p>
    <w:p w:rsidR="00477FB1" w:rsidRDefault="00477FB1" w:rsidP="00477FB1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7FB1">
        <w:rPr>
          <w:rFonts w:ascii="Times New Roman" w:hAnsi="Times New Roman" w:cs="Times New Roman"/>
          <w:sz w:val="24"/>
          <w:szCs w:val="24"/>
        </w:rPr>
        <w:t>A birtokvédelmi eljárás megindításához</w:t>
      </w:r>
      <w:r>
        <w:rPr>
          <w:rFonts w:ascii="Times New Roman" w:hAnsi="Times New Roman" w:cs="Times New Roman"/>
          <w:sz w:val="24"/>
          <w:szCs w:val="24"/>
        </w:rPr>
        <w:t xml:space="preserve"> szükséges kérelem tartalmazza:</w:t>
      </w:r>
    </w:p>
    <w:p w:rsidR="00477FB1" w:rsidRDefault="00477FB1" w:rsidP="00477FB1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77FB1">
        <w:rPr>
          <w:rFonts w:ascii="Times New Roman" w:hAnsi="Times New Roman" w:cs="Times New Roman"/>
          <w:sz w:val="24"/>
          <w:szCs w:val="24"/>
        </w:rPr>
        <w:t xml:space="preserve"> birtokvédelmet kérő nevét, továbbá lakcímét vagy székhelyét, aláírását,</w:t>
      </w:r>
    </w:p>
    <w:p w:rsidR="00477FB1" w:rsidRDefault="00477FB1" w:rsidP="00477FB1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FB1">
        <w:rPr>
          <w:rFonts w:ascii="Times New Roman" w:hAnsi="Times New Roman" w:cs="Times New Roman"/>
          <w:sz w:val="24"/>
          <w:szCs w:val="24"/>
        </w:rPr>
        <w:t>annak a félnek a nevét, továbbá lakcímét vagy székhelyét, akivel szemben a birtokvédelmet kérik,</w:t>
      </w:r>
    </w:p>
    <w:p w:rsidR="00477FB1" w:rsidRDefault="00477FB1" w:rsidP="00477FB1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FB1">
        <w:rPr>
          <w:rFonts w:ascii="Times New Roman" w:hAnsi="Times New Roman" w:cs="Times New Roman"/>
          <w:sz w:val="24"/>
          <w:szCs w:val="24"/>
        </w:rPr>
        <w:t>a birtokvédelmi eljárás megindításának alapjául szolgáló tényállás ismertetését - ideértve a cselekmény leírását -, a birtokvitával érintett dolog megjelölését,</w:t>
      </w:r>
    </w:p>
    <w:p w:rsidR="00477FB1" w:rsidRDefault="00477FB1" w:rsidP="00477FB1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FB1">
        <w:rPr>
          <w:rFonts w:ascii="Times New Roman" w:hAnsi="Times New Roman" w:cs="Times New Roman"/>
          <w:sz w:val="24"/>
          <w:szCs w:val="24"/>
        </w:rPr>
        <w:t>a jegyző illetékességét megalapozó tények megjelölését, a birtoksértő magatartás elkövetésének helyére történő utalást,</w:t>
      </w:r>
    </w:p>
    <w:p w:rsidR="00477FB1" w:rsidRDefault="00477FB1" w:rsidP="00477FB1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FB1">
        <w:rPr>
          <w:rFonts w:ascii="Times New Roman" w:hAnsi="Times New Roman" w:cs="Times New Roman"/>
          <w:sz w:val="24"/>
          <w:szCs w:val="24"/>
        </w:rPr>
        <w:t>a birtoksértés időpontjára történő utalást,</w:t>
      </w:r>
    </w:p>
    <w:p w:rsidR="00477FB1" w:rsidRPr="00477FB1" w:rsidRDefault="00477FB1" w:rsidP="00477FB1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FB1">
        <w:rPr>
          <w:rFonts w:ascii="Times New Roman" w:hAnsi="Times New Roman" w:cs="Times New Roman"/>
          <w:sz w:val="24"/>
          <w:szCs w:val="24"/>
        </w:rPr>
        <w:t>a jegyző döntésére irányuló kifejezett kérelmet.</w:t>
      </w:r>
      <w:r w:rsidRPr="00477FB1">
        <w:rPr>
          <w:rFonts w:ascii="Times New Roman" w:hAnsi="Times New Roman" w:cs="Times New Roman"/>
          <w:sz w:val="24"/>
          <w:szCs w:val="24"/>
        </w:rPr>
        <w:br/>
        <w:t>A kérelem előterjesztésével egyidejűleg a birtokvédelmet kérő benyújtja a kérelemben foglaltak igazolására szolgáló bizonyítékokat, és képviselő eljárása esetén csatolja a meghatalmazást.</w:t>
      </w:r>
    </w:p>
    <w:p w:rsidR="00477FB1" w:rsidRPr="00477FB1" w:rsidRDefault="00477FB1" w:rsidP="00477FB1">
      <w:pPr>
        <w:pStyle w:val="Nincstrkz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FB1">
        <w:rPr>
          <w:rFonts w:ascii="Times New Roman" w:hAnsi="Times New Roman" w:cs="Times New Roman"/>
          <w:b/>
          <w:bCs/>
          <w:sz w:val="24"/>
          <w:szCs w:val="24"/>
        </w:rPr>
        <w:t>Milyen iratok szükségesek?</w:t>
      </w:r>
    </w:p>
    <w:p w:rsidR="00477FB1" w:rsidRPr="00477FB1" w:rsidRDefault="00477FB1" w:rsidP="00CE3E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77FB1">
        <w:rPr>
          <w:rFonts w:ascii="Times New Roman" w:hAnsi="Times New Roman" w:cs="Times New Roman"/>
          <w:sz w:val="24"/>
          <w:szCs w:val="24"/>
        </w:rPr>
        <w:t>A kérelem előterjesztésével egyidejűleg a birtokvédelmet kérő benyújtja a kérelemben foglaltak igazolására szolgáló bizonyítékokat, és képviselő eljárása esetén csatolja a meghatalmazást.</w:t>
      </w:r>
    </w:p>
    <w:p w:rsidR="00477FB1" w:rsidRPr="00477FB1" w:rsidRDefault="00477FB1" w:rsidP="00477FB1">
      <w:pPr>
        <w:pStyle w:val="Nincstrkz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FB1">
        <w:rPr>
          <w:rFonts w:ascii="Times New Roman" w:hAnsi="Times New Roman" w:cs="Times New Roman"/>
          <w:b/>
          <w:bCs/>
          <w:sz w:val="24"/>
          <w:szCs w:val="24"/>
        </w:rPr>
        <w:t>Milyen költségei vannak az eljárásnak?</w:t>
      </w:r>
    </w:p>
    <w:p w:rsidR="00477FB1" w:rsidRPr="00477FB1" w:rsidRDefault="00477FB1" w:rsidP="00CE3E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77FB1">
        <w:rPr>
          <w:rFonts w:ascii="Times New Roman" w:hAnsi="Times New Roman" w:cs="Times New Roman"/>
          <w:sz w:val="24"/>
          <w:szCs w:val="24"/>
        </w:rPr>
        <w:t>3000 Ft eljárási illeték</w:t>
      </w:r>
      <w:r w:rsidR="00CE3E50">
        <w:rPr>
          <w:rFonts w:ascii="Times New Roman" w:hAnsi="Times New Roman" w:cs="Times New Roman"/>
          <w:sz w:val="24"/>
          <w:szCs w:val="24"/>
        </w:rPr>
        <w:t xml:space="preserve"> </w:t>
      </w:r>
      <w:r w:rsidRPr="00477FB1">
        <w:rPr>
          <w:rFonts w:ascii="Times New Roman" w:hAnsi="Times New Roman" w:cs="Times New Roman"/>
          <w:sz w:val="24"/>
          <w:szCs w:val="24"/>
        </w:rPr>
        <w:t>illetékbélyegen vagy banki átutalással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FB1">
        <w:rPr>
          <w:rFonts w:ascii="Times New Roman" w:hAnsi="Times New Roman" w:cs="Times New Roman"/>
          <w:sz w:val="24"/>
          <w:szCs w:val="24"/>
        </w:rPr>
        <w:t>történő fizetéssel</w:t>
      </w:r>
    </w:p>
    <w:p w:rsidR="00477FB1" w:rsidRDefault="00477FB1" w:rsidP="00477FB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E3E50" w:rsidRDefault="00CE3E50" w:rsidP="0078328F">
      <w:pPr>
        <w:pStyle w:val="Nincstrkz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E50">
        <w:rPr>
          <w:rFonts w:ascii="Times New Roman" w:hAnsi="Times New Roman" w:cs="Times New Roman"/>
          <w:b/>
          <w:sz w:val="24"/>
          <w:szCs w:val="24"/>
          <w:u w:val="single"/>
        </w:rPr>
        <w:t xml:space="preserve">Hagyatéki eljárás: </w:t>
      </w:r>
      <w:r w:rsidRPr="00CE3E50">
        <w:rPr>
          <w:rFonts w:ascii="Times New Roman" w:hAnsi="Times New Roman" w:cs="Times New Roman"/>
          <w:sz w:val="24"/>
          <w:szCs w:val="24"/>
        </w:rPr>
        <w:t xml:space="preserve">A hagyatéki eljárásban az öröklésre vonatkozó döntést a hagyaték leltározása előzheti meg. Ezt a leltározást többnyire az illetékes jegyző (illetve az általa megbízott ügyintéző) végzi. A leltározás sok esetben (pl. az </w:t>
      </w:r>
      <w:r w:rsidRPr="00CE3E50">
        <w:rPr>
          <w:rFonts w:ascii="Times New Roman" w:hAnsi="Times New Roman" w:cs="Times New Roman"/>
          <w:sz w:val="24"/>
          <w:szCs w:val="24"/>
        </w:rPr>
        <w:lastRenderedPageBreak/>
        <w:t xml:space="preserve">örökösök között kiskorú van, akinek öröklési érdeke veszélyeztetve van, vagy a hagyatékban belföldön fekvő ingatlan van) hivatalból történik, de előfordulhat, hogy a </w:t>
      </w:r>
      <w:proofErr w:type="spellStart"/>
      <w:r w:rsidRPr="00CE3E50">
        <w:rPr>
          <w:rFonts w:ascii="Times New Roman" w:hAnsi="Times New Roman" w:cs="Times New Roman"/>
          <w:sz w:val="24"/>
          <w:szCs w:val="24"/>
        </w:rPr>
        <w:t>hivatalbóli</w:t>
      </w:r>
      <w:proofErr w:type="spellEnd"/>
      <w:r w:rsidRPr="00CE3E50">
        <w:rPr>
          <w:rFonts w:ascii="Times New Roman" w:hAnsi="Times New Roman" w:cs="Times New Roman"/>
          <w:sz w:val="24"/>
          <w:szCs w:val="24"/>
        </w:rPr>
        <w:t xml:space="preserve"> leltározásra nincs ok, viszont valamelyik öröklésben érdekelt személy fontosnak tartja, hogy az örökhagyó vagyonát leltárba vegyék.</w:t>
      </w:r>
      <w:r w:rsidRPr="00CE3E50">
        <w:rPr>
          <w:rFonts w:ascii="Times New Roman" w:hAnsi="Times New Roman" w:cs="Times New Roman"/>
          <w:sz w:val="24"/>
          <w:szCs w:val="24"/>
        </w:rPr>
        <w:t xml:space="preserve"> </w:t>
      </w:r>
      <w:r w:rsidRPr="00CE3E50">
        <w:rPr>
          <w:rFonts w:ascii="Times New Roman" w:hAnsi="Times New Roman" w:cs="Times New Roman"/>
          <w:sz w:val="24"/>
          <w:szCs w:val="24"/>
        </w:rPr>
        <w:t>Ebben az esetben a jegyző az öröklésben érdekelt kérelmére a hagyatékot leltározza.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E50" w:rsidRPr="00CE3E50" w:rsidRDefault="00CE3E50" w:rsidP="00CE3E50">
      <w:pPr>
        <w:pStyle w:val="Nincstrkz"/>
        <w:ind w:left="372" w:firstLine="3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50">
        <w:rPr>
          <w:rFonts w:ascii="Times New Roman" w:hAnsi="Times New Roman" w:cs="Times New Roman"/>
          <w:b/>
          <w:sz w:val="24"/>
          <w:szCs w:val="24"/>
        </w:rPr>
        <w:t>Ki jogosult az eljárásra</w:t>
      </w:r>
      <w:proofErr w:type="gramStart"/>
      <w:r w:rsidRPr="00CE3E50">
        <w:rPr>
          <w:rFonts w:ascii="Times New Roman" w:hAnsi="Times New Roman" w:cs="Times New Roman"/>
          <w:b/>
          <w:sz w:val="24"/>
          <w:szCs w:val="24"/>
        </w:rPr>
        <w:t>?:</w:t>
      </w:r>
      <w:proofErr w:type="gramEnd"/>
    </w:p>
    <w:p w:rsidR="00CE3E50" w:rsidRPr="00CE3E50" w:rsidRDefault="00CE3E50" w:rsidP="00CE3E5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E3E50">
        <w:rPr>
          <w:rFonts w:ascii="Times New Roman" w:hAnsi="Times New Roman" w:cs="Times New Roman"/>
          <w:sz w:val="24"/>
          <w:szCs w:val="24"/>
        </w:rPr>
        <w:t xml:space="preserve">Az öröklésben érdekelt nyújthat be kérelmet a hagyaték leltározása iránt.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E50">
        <w:rPr>
          <w:rFonts w:ascii="Times New Roman" w:hAnsi="Times New Roman" w:cs="Times New Roman"/>
          <w:sz w:val="24"/>
          <w:szCs w:val="24"/>
        </w:rPr>
        <w:t xml:space="preserve">Öröklésben érdekelt: az örökösként érdekelt, továbbá az, aki az eljárásban hagyatéki hitelezőként, igénylőként vagy </w:t>
      </w:r>
      <w:proofErr w:type="spellStart"/>
      <w:r w:rsidRPr="00CE3E50">
        <w:rPr>
          <w:rFonts w:ascii="Times New Roman" w:hAnsi="Times New Roman" w:cs="Times New Roman"/>
          <w:sz w:val="24"/>
          <w:szCs w:val="24"/>
        </w:rPr>
        <w:t>kötelesrészre</w:t>
      </w:r>
      <w:proofErr w:type="spellEnd"/>
      <w:r w:rsidRPr="00CE3E50">
        <w:rPr>
          <w:rFonts w:ascii="Times New Roman" w:hAnsi="Times New Roman" w:cs="Times New Roman"/>
          <w:sz w:val="24"/>
          <w:szCs w:val="24"/>
        </w:rPr>
        <w:t xml:space="preserve"> jogosultként lépett fel, továbbá a 650/2012/EU európai parlamenti és tanácsi rendelet szerinti végrendeleti végrehajtó és hagyatéki gondnok, valamint a biztosítási intézkedés, illetve a jogorvoslat iránti kérelem előterjesztése körében a gyámhatóság. </w:t>
      </w:r>
    </w:p>
    <w:p w:rsidR="00240FFB" w:rsidRDefault="00240FFB" w:rsidP="004A0F6F">
      <w:pPr>
        <w:pStyle w:val="Nincstrkz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FFB">
        <w:rPr>
          <w:rFonts w:ascii="Times New Roman" w:hAnsi="Times New Roman" w:cs="Times New Roman"/>
          <w:b/>
          <w:sz w:val="24"/>
          <w:szCs w:val="24"/>
          <w:u w:val="single"/>
        </w:rPr>
        <w:t>Hatósági bizonyítvány kiadása</w:t>
      </w:r>
      <w:r w:rsidRPr="00240F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40FFB">
        <w:rPr>
          <w:rFonts w:ascii="Times New Roman" w:hAnsi="Times New Roman" w:cs="Times New Roman"/>
          <w:sz w:val="24"/>
          <w:szCs w:val="24"/>
        </w:rPr>
        <w:t>Ha az ügyfél kéri, a hatóság hatósági bizonyítványt ad ki számára tény, állapot vagy egyéb adat igazolására. Ennek tartalmát - az ellenkező bizonyításáig - mindenki köteles elfogadni.</w:t>
      </w:r>
    </w:p>
    <w:p w:rsidR="00240FFB" w:rsidRDefault="00240FFB" w:rsidP="00240F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A5B82" w:rsidRPr="004A5B82" w:rsidRDefault="00240FFB" w:rsidP="004A5B82">
      <w:pPr>
        <w:pStyle w:val="Nincstrkz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B82">
        <w:rPr>
          <w:rFonts w:ascii="Times New Roman" w:hAnsi="Times New Roman" w:cs="Times New Roman"/>
          <w:b/>
          <w:sz w:val="24"/>
          <w:szCs w:val="24"/>
          <w:u w:val="single"/>
        </w:rPr>
        <w:t xml:space="preserve">Hirdetmények:  </w:t>
      </w:r>
    </w:p>
    <w:p w:rsidR="00240FFB" w:rsidRPr="004A5B82" w:rsidRDefault="004A5B82" w:rsidP="004A5B8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A5B82">
        <w:rPr>
          <w:rFonts w:ascii="Times New Roman" w:hAnsi="Times New Roman" w:cs="Times New Roman"/>
          <w:b/>
          <w:sz w:val="24"/>
          <w:szCs w:val="24"/>
        </w:rPr>
        <w:t>Adásvétel esetén: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FFB" w:rsidRPr="004A5B82">
        <w:rPr>
          <w:rFonts w:ascii="Times New Roman" w:hAnsi="Times New Roman" w:cs="Times New Roman"/>
          <w:sz w:val="24"/>
          <w:szCs w:val="24"/>
        </w:rPr>
        <w:t>A föld fekvése szerint illetékes települési önkormányzat jegyzője részére az adásvételi szerződéseket felek általi aláírását követő 8 napon belül formanyomtatványon, közzétételi kérelmet kell benyújtani az egységes okiratba foglalt adásvételi szerződés hirdetményi úton történő közlése iránt. A Jegyző feladata, hogy felhívja a hiányosság pótlására a közzétételt kérőt (</w:t>
      </w:r>
      <w:proofErr w:type="spellStart"/>
      <w:r w:rsidR="00240FFB" w:rsidRPr="004A5B82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="00240FFB" w:rsidRPr="004A5B82">
        <w:rPr>
          <w:rFonts w:ascii="Times New Roman" w:hAnsi="Times New Roman" w:cs="Times New Roman"/>
          <w:sz w:val="24"/>
          <w:szCs w:val="24"/>
        </w:rPr>
        <w:t xml:space="preserve"> ha nem megfelelő példányszámban került benyújtásra az okirat). Meg kell tagadnia a közzétételi kérelem teljesítését, ha e felhívásnak az ügyfél nem tesz eleget, vagy a kérelem nem az eladótól származik.</w:t>
      </w:r>
      <w:r w:rsidRPr="004A5B82">
        <w:rPr>
          <w:rFonts w:ascii="Times New Roman" w:hAnsi="Times New Roman" w:cs="Times New Roman"/>
          <w:sz w:val="24"/>
          <w:szCs w:val="24"/>
        </w:rPr>
        <w:t xml:space="preserve"> </w:t>
      </w:r>
      <w:r w:rsidR="00240FFB" w:rsidRPr="004A5B82">
        <w:rPr>
          <w:rFonts w:ascii="Times New Roman" w:hAnsi="Times New Roman" w:cs="Times New Roman"/>
          <w:sz w:val="24"/>
          <w:szCs w:val="24"/>
        </w:rPr>
        <w:t>Több föld egybefoglalt vételáron történt eladására csak akkor kerülhet sor, ha azok egymással szomszédosak vagy egy mezőgazdasági üzemközponthoz tartoznak.</w:t>
      </w:r>
    </w:p>
    <w:p w:rsidR="00240FFB" w:rsidRPr="00240FFB" w:rsidRDefault="00240FFB" w:rsidP="00240F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40FFB" w:rsidRPr="00240FFB" w:rsidRDefault="00240FFB" w:rsidP="00240F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40FFB">
        <w:rPr>
          <w:rFonts w:ascii="Times New Roman" w:hAnsi="Times New Roman" w:cs="Times New Roman"/>
          <w:sz w:val="24"/>
          <w:szCs w:val="24"/>
        </w:rPr>
        <w:t xml:space="preserve">A Jegyzőhöz 4 eredeti példány szerződést kell benyújtani, melyből 1 példánynak biztonsági papíron kell készülnie. A kifüggesztésre kerülő egyik, nem biztonsági papíron készült szerződést </w:t>
      </w:r>
      <w:proofErr w:type="spellStart"/>
      <w:r w:rsidRPr="00240FFB">
        <w:rPr>
          <w:rFonts w:ascii="Times New Roman" w:hAnsi="Times New Roman" w:cs="Times New Roman"/>
          <w:sz w:val="24"/>
          <w:szCs w:val="24"/>
        </w:rPr>
        <w:t>anonimizálva</w:t>
      </w:r>
      <w:proofErr w:type="spellEnd"/>
      <w:r w:rsidRPr="00240FFB">
        <w:rPr>
          <w:rFonts w:ascii="Times New Roman" w:hAnsi="Times New Roman" w:cs="Times New Roman"/>
          <w:sz w:val="24"/>
          <w:szCs w:val="24"/>
        </w:rPr>
        <w:t xml:space="preserve"> kell kifüggeszteni az önkormányzat hirdetőtábláján, mégpedig az alábbiak szerint: a név, felek címe és állampolgársága kivételével a személyazonosító adatokat felismerhetetlenné kell tenni. A kifüggesztett okiratra záradék is kerül, ami tartalmazza a kifüggesztés időpontját és az elővásárlásra jogosult jognyilatkozatának megtételére nyitva álló 60 napos határidő utolsó napját, azzal a felhívással, hogy e határidő jogvesztő. Ezzel egy időben elektronikus tájékoztatás is megtörténik a </w:t>
      </w:r>
      <w:hyperlink r:id="rId7" w:history="1">
        <w:r w:rsidR="004A5B82" w:rsidRPr="00886CA5">
          <w:rPr>
            <w:rStyle w:val="Hiperhivatkozs"/>
            <w:rFonts w:ascii="Times New Roman" w:hAnsi="Times New Roman" w:cs="Times New Roman"/>
            <w:sz w:val="24"/>
            <w:szCs w:val="24"/>
          </w:rPr>
          <w:t>www.magyarorszag.hu-n</w:t>
        </w:r>
      </w:hyperlink>
      <w:r w:rsidRPr="00240FFB">
        <w:rPr>
          <w:rFonts w:ascii="Times New Roman" w:hAnsi="Times New Roman" w:cs="Times New Roman"/>
          <w:sz w:val="24"/>
          <w:szCs w:val="24"/>
        </w:rPr>
        <w:t>.</w:t>
      </w:r>
      <w:r w:rsidR="004A5B82">
        <w:rPr>
          <w:rFonts w:ascii="Times New Roman" w:hAnsi="Times New Roman" w:cs="Times New Roman"/>
          <w:sz w:val="24"/>
          <w:szCs w:val="24"/>
        </w:rPr>
        <w:t xml:space="preserve"> </w:t>
      </w:r>
      <w:r w:rsidRPr="00240FFB">
        <w:rPr>
          <w:rFonts w:ascii="Times New Roman" w:hAnsi="Times New Roman" w:cs="Times New Roman"/>
          <w:sz w:val="24"/>
          <w:szCs w:val="24"/>
        </w:rPr>
        <w:t>A jognyilatkozat megtételére nyitva álló 60 napba nem számít bele a kifüggesztés és a levétel napja. Ha a határidő utolsó napja olyan nap, amelyen a hatóságnál a munka szünetel (</w:t>
      </w:r>
      <w:proofErr w:type="spellStart"/>
      <w:r w:rsidRPr="00240FFB">
        <w:rPr>
          <w:rFonts w:ascii="Times New Roman" w:hAnsi="Times New Roman" w:cs="Times New Roman"/>
          <w:sz w:val="24"/>
          <w:szCs w:val="24"/>
        </w:rPr>
        <w:t>pl</w:t>
      </w:r>
      <w:proofErr w:type="spellEnd"/>
      <w:proofErr w:type="gramStart"/>
      <w:r w:rsidRPr="00240FFB">
        <w:rPr>
          <w:rFonts w:ascii="Times New Roman" w:hAnsi="Times New Roman" w:cs="Times New Roman"/>
          <w:sz w:val="24"/>
          <w:szCs w:val="24"/>
        </w:rPr>
        <w:t>:hétvége</w:t>
      </w:r>
      <w:proofErr w:type="gramEnd"/>
      <w:r w:rsidRPr="00240FFB">
        <w:rPr>
          <w:rFonts w:ascii="Times New Roman" w:hAnsi="Times New Roman" w:cs="Times New Roman"/>
          <w:sz w:val="24"/>
          <w:szCs w:val="24"/>
        </w:rPr>
        <w:t>, ünnepnap), úgy a határidő a következő munkanapon jár le. Ebben az esetben a levétel napja is tolódik, amely a lejárat napját követő munkanap.</w:t>
      </w:r>
      <w:r w:rsidR="004A5B82">
        <w:rPr>
          <w:rFonts w:ascii="Times New Roman" w:hAnsi="Times New Roman" w:cs="Times New Roman"/>
          <w:sz w:val="24"/>
          <w:szCs w:val="24"/>
        </w:rPr>
        <w:t xml:space="preserve"> </w:t>
      </w:r>
      <w:r w:rsidRPr="00240FFB">
        <w:rPr>
          <w:rFonts w:ascii="Times New Roman" w:hAnsi="Times New Roman" w:cs="Times New Roman"/>
          <w:sz w:val="24"/>
          <w:szCs w:val="24"/>
        </w:rPr>
        <w:t>Az elfogadó jognyilatkozatnak tartalmaznia kell, hogy az elővásárlásra jogosult mely törvényen, mely sorrend, annak mely ranghelyén gyakorolja jogát, illetve a földforgalmi tv.13-15. §</w:t>
      </w:r>
      <w:proofErr w:type="spellStart"/>
      <w:r w:rsidRPr="00240FFB">
        <w:rPr>
          <w:rFonts w:ascii="Times New Roman" w:hAnsi="Times New Roman" w:cs="Times New Roman"/>
          <w:sz w:val="24"/>
          <w:szCs w:val="24"/>
        </w:rPr>
        <w:t>-aiban</w:t>
      </w:r>
      <w:proofErr w:type="spellEnd"/>
      <w:r w:rsidRPr="00240FFB">
        <w:rPr>
          <w:rFonts w:ascii="Times New Roman" w:hAnsi="Times New Roman" w:cs="Times New Roman"/>
          <w:sz w:val="24"/>
          <w:szCs w:val="24"/>
        </w:rPr>
        <w:t xml:space="preserve"> felsorolt nyilatkozatokat.</w:t>
      </w:r>
      <w:r w:rsidR="004A5B82">
        <w:rPr>
          <w:rFonts w:ascii="Times New Roman" w:hAnsi="Times New Roman" w:cs="Times New Roman"/>
          <w:sz w:val="24"/>
          <w:szCs w:val="24"/>
        </w:rPr>
        <w:t xml:space="preserve"> </w:t>
      </w:r>
      <w:r w:rsidRPr="00240FFB">
        <w:rPr>
          <w:rFonts w:ascii="Times New Roman" w:hAnsi="Times New Roman" w:cs="Times New Roman"/>
          <w:sz w:val="24"/>
          <w:szCs w:val="24"/>
        </w:rPr>
        <w:t>A Jegyző a nyilatkozattételre nyitva álló határidő leteltét követő 8 napon belül a beérkezett jognyilatkozatokról iratjegyzéket készít, és azt az adásvételi szerződések eredeti példányával, valamint a jognyilatkozatokkal együtt megküldi a mezőgazdasági igazgatási szervnek, és egy időben tájékoztatja az eladót is.</w:t>
      </w:r>
    </w:p>
    <w:p w:rsidR="00240FFB" w:rsidRPr="00240FFB" w:rsidRDefault="00240FFB" w:rsidP="00240F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40FFB">
        <w:rPr>
          <w:rFonts w:ascii="Times New Roman" w:hAnsi="Times New Roman" w:cs="Times New Roman"/>
          <w:sz w:val="24"/>
          <w:szCs w:val="24"/>
        </w:rPr>
        <w:t>Az ügyintézéshez szükséges dokumentumok, okmányok:</w:t>
      </w:r>
    </w:p>
    <w:p w:rsidR="00240FFB" w:rsidRPr="00240FFB" w:rsidRDefault="00240FFB" w:rsidP="00240F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40FFB">
        <w:rPr>
          <w:rFonts w:ascii="Times New Roman" w:hAnsi="Times New Roman" w:cs="Times New Roman"/>
          <w:sz w:val="24"/>
          <w:szCs w:val="24"/>
        </w:rPr>
        <w:t>Adásvételi szerződés hirdetményi úton történő közlésére irányuló közzétételi kérelem /formanyomtatvány/</w:t>
      </w:r>
      <w:r w:rsidR="004A5B82">
        <w:rPr>
          <w:rFonts w:ascii="Times New Roman" w:hAnsi="Times New Roman" w:cs="Times New Roman"/>
          <w:sz w:val="24"/>
          <w:szCs w:val="24"/>
        </w:rPr>
        <w:t xml:space="preserve">; </w:t>
      </w:r>
      <w:r w:rsidRPr="00240FFB">
        <w:rPr>
          <w:rFonts w:ascii="Times New Roman" w:hAnsi="Times New Roman" w:cs="Times New Roman"/>
          <w:sz w:val="24"/>
          <w:szCs w:val="24"/>
        </w:rPr>
        <w:t>4 db eredeti adásvételi szerződés (1 biztonsági papíron)</w:t>
      </w:r>
    </w:p>
    <w:p w:rsidR="00240FFB" w:rsidRPr="00240FFB" w:rsidRDefault="00240FFB" w:rsidP="00240F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40FFB" w:rsidRPr="00240FFB" w:rsidRDefault="00240FFB" w:rsidP="00240F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A5B82">
        <w:rPr>
          <w:rFonts w:ascii="Times New Roman" w:hAnsi="Times New Roman" w:cs="Times New Roman"/>
          <w:b/>
          <w:sz w:val="24"/>
          <w:szCs w:val="24"/>
        </w:rPr>
        <w:t>Haszonbérleti szerződések hirdetmény útján történő közzététele</w:t>
      </w:r>
      <w:r w:rsidR="004A5B82">
        <w:rPr>
          <w:rFonts w:ascii="Times New Roman" w:hAnsi="Times New Roman" w:cs="Times New Roman"/>
          <w:sz w:val="24"/>
          <w:szCs w:val="24"/>
        </w:rPr>
        <w:t xml:space="preserve">: </w:t>
      </w:r>
      <w:r w:rsidRPr="00240FFB">
        <w:rPr>
          <w:rFonts w:ascii="Times New Roman" w:hAnsi="Times New Roman" w:cs="Times New Roman"/>
          <w:sz w:val="24"/>
          <w:szCs w:val="24"/>
        </w:rPr>
        <w:t>A haszonbérleti szerződés aláírását követő 8 napon belül a föld fekvése szerint illetékes települési önkormányzat jegyzője útján hirdetményi úton kell közölni. A jegyző részére 3 eredeti példányba</w:t>
      </w:r>
      <w:r w:rsidR="004A5B82">
        <w:rPr>
          <w:rFonts w:ascii="Times New Roman" w:hAnsi="Times New Roman" w:cs="Times New Roman"/>
          <w:sz w:val="24"/>
          <w:szCs w:val="24"/>
        </w:rPr>
        <w:t>n</w:t>
      </w:r>
      <w:r w:rsidRPr="00240FFB">
        <w:rPr>
          <w:rFonts w:ascii="Times New Roman" w:hAnsi="Times New Roman" w:cs="Times New Roman"/>
          <w:sz w:val="24"/>
          <w:szCs w:val="24"/>
        </w:rPr>
        <w:t xml:space="preserve"> kell benyújtani, a </w:t>
      </w:r>
      <w:r w:rsidRPr="00240FFB">
        <w:rPr>
          <w:rFonts w:ascii="Times New Roman" w:hAnsi="Times New Roman" w:cs="Times New Roman"/>
          <w:sz w:val="24"/>
          <w:szCs w:val="24"/>
        </w:rPr>
        <w:lastRenderedPageBreak/>
        <w:t xml:space="preserve">közzétételi kérelemmel együtt. A haszonbérleti szerződéseknek nem kell biztonsági okmányon szerkesztettnek lenniük. A benyújtott haszonbérleti szerződés egyik eredeti példányán felismerhetetlenné kell tenni a haszonbérbeadó és a haszonbérlő nevén, lakcímén vagy értesítési címén, valamint állampolgárságán kívül valamennyi természetes személyazonosító adatot, vagyis </w:t>
      </w:r>
      <w:proofErr w:type="spellStart"/>
      <w:r w:rsidRPr="00240FFB">
        <w:rPr>
          <w:rFonts w:ascii="Times New Roman" w:hAnsi="Times New Roman" w:cs="Times New Roman"/>
          <w:sz w:val="24"/>
          <w:szCs w:val="24"/>
        </w:rPr>
        <w:t>anonimizálni</w:t>
      </w:r>
      <w:proofErr w:type="spellEnd"/>
      <w:r w:rsidRPr="00240FFB">
        <w:rPr>
          <w:rFonts w:ascii="Times New Roman" w:hAnsi="Times New Roman" w:cs="Times New Roman"/>
          <w:sz w:val="24"/>
          <w:szCs w:val="24"/>
        </w:rPr>
        <w:t>. A jegyző a kifüggesztett szerződésre rávezeti a kifüggesztés időpontját és az elő haszonbérletre jogosult jognyilatkozatának megtételére nyitva álló 15 napos határidő utolsó napját, azzal a felhívással, hogy e határidő jogvesztő</w:t>
      </w:r>
      <w:r w:rsidR="004A5B82">
        <w:rPr>
          <w:rFonts w:ascii="Times New Roman" w:hAnsi="Times New Roman" w:cs="Times New Roman"/>
          <w:sz w:val="24"/>
          <w:szCs w:val="24"/>
        </w:rPr>
        <w:t xml:space="preserve">. </w:t>
      </w:r>
      <w:r w:rsidRPr="00240FFB">
        <w:rPr>
          <w:rFonts w:ascii="Times New Roman" w:hAnsi="Times New Roman" w:cs="Times New Roman"/>
          <w:sz w:val="24"/>
          <w:szCs w:val="24"/>
        </w:rPr>
        <w:t xml:space="preserve">Ezzel egy időben elektronikus tájékoztatás is megtörténik a </w:t>
      </w:r>
      <w:hyperlink r:id="rId8" w:history="1">
        <w:r w:rsidR="004A5B82" w:rsidRPr="00886CA5">
          <w:rPr>
            <w:rStyle w:val="Hiperhivatkozs"/>
            <w:rFonts w:ascii="Times New Roman" w:hAnsi="Times New Roman" w:cs="Times New Roman"/>
            <w:sz w:val="24"/>
            <w:szCs w:val="24"/>
          </w:rPr>
          <w:t>www.magyarorszag.hu-n</w:t>
        </w:r>
      </w:hyperlink>
      <w:proofErr w:type="gramStart"/>
      <w:r w:rsidRPr="00240FFB">
        <w:rPr>
          <w:rFonts w:ascii="Times New Roman" w:hAnsi="Times New Roman" w:cs="Times New Roman"/>
          <w:sz w:val="24"/>
          <w:szCs w:val="24"/>
        </w:rPr>
        <w:t>.</w:t>
      </w:r>
      <w:r w:rsidR="004A5B82">
        <w:rPr>
          <w:rFonts w:ascii="Times New Roman" w:hAnsi="Times New Roman" w:cs="Times New Roman"/>
          <w:sz w:val="24"/>
          <w:szCs w:val="24"/>
        </w:rPr>
        <w:t xml:space="preserve">  </w:t>
      </w:r>
      <w:r w:rsidRPr="00240FF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40FFB">
        <w:rPr>
          <w:rFonts w:ascii="Times New Roman" w:hAnsi="Times New Roman" w:cs="Times New Roman"/>
          <w:sz w:val="24"/>
          <w:szCs w:val="24"/>
        </w:rPr>
        <w:t xml:space="preserve"> jognyilatkozat megtételére nyitva álló 15 napba nem számít bele a kifüggesztés és a levétel napja. Ha a határidő utolsó napja olyan nap, amelyen a hatóságnál a munkaszüneti nap (</w:t>
      </w:r>
      <w:proofErr w:type="spellStart"/>
      <w:r w:rsidRPr="00240FFB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240FFB">
        <w:rPr>
          <w:rFonts w:ascii="Times New Roman" w:hAnsi="Times New Roman" w:cs="Times New Roman"/>
          <w:sz w:val="24"/>
          <w:szCs w:val="24"/>
        </w:rPr>
        <w:t>: hétvége, ünnepnap), úgy a határidő a következő munkanapon jár le. Ebben az esetben a levétel napja is tolódik, amely a lejárat napját követő munkanap.</w:t>
      </w:r>
      <w:r w:rsidR="004A5B82">
        <w:rPr>
          <w:rFonts w:ascii="Times New Roman" w:hAnsi="Times New Roman" w:cs="Times New Roman"/>
          <w:sz w:val="24"/>
          <w:szCs w:val="24"/>
        </w:rPr>
        <w:t xml:space="preserve"> </w:t>
      </w:r>
      <w:r w:rsidRPr="00240FFB">
        <w:rPr>
          <w:rFonts w:ascii="Times New Roman" w:hAnsi="Times New Roman" w:cs="Times New Roman"/>
          <w:sz w:val="24"/>
          <w:szCs w:val="24"/>
        </w:rPr>
        <w:t>A Jegyző a nyilatkozattételre nyitva álló határidő leteltét követő 8 napon belül a beérkezett jognyilatkozatokról iratjegyzéket készít, és azt a haszonbérleti szerződések eredeti példányával, valamint a jognyilatkozatokkal együtt megküldi a mezőgazdasági igazgatási szervnek, és egy időben tájékoztatja az eladót is.</w:t>
      </w:r>
      <w:r w:rsidR="004A5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FFB" w:rsidRPr="00240FFB" w:rsidRDefault="00240FFB" w:rsidP="00240F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40FFB">
        <w:rPr>
          <w:rFonts w:ascii="Times New Roman" w:hAnsi="Times New Roman" w:cs="Times New Roman"/>
          <w:sz w:val="24"/>
          <w:szCs w:val="24"/>
        </w:rPr>
        <w:t>A szerződések hirdetményi úton történő közlésére vonatkozó eljárás díj és illetékmentes.</w:t>
      </w:r>
    </w:p>
    <w:p w:rsidR="00240FFB" w:rsidRPr="00240FFB" w:rsidRDefault="00240FFB" w:rsidP="00240F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40FFB">
        <w:rPr>
          <w:rFonts w:ascii="Times New Roman" w:hAnsi="Times New Roman" w:cs="Times New Roman"/>
          <w:sz w:val="24"/>
          <w:szCs w:val="24"/>
        </w:rPr>
        <w:t>Az ügyintézéshez szükséges dokumentumok, okmányok:</w:t>
      </w:r>
    </w:p>
    <w:p w:rsidR="00240FFB" w:rsidRPr="00240FFB" w:rsidRDefault="00240FFB" w:rsidP="00240F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40FFB">
        <w:rPr>
          <w:rFonts w:ascii="Times New Roman" w:hAnsi="Times New Roman" w:cs="Times New Roman"/>
          <w:sz w:val="24"/>
          <w:szCs w:val="24"/>
        </w:rPr>
        <w:t>Haszonbérleti szerződés hirdetményi úton történő közlésére irányuló közzétételi kérelem /formanyomtatvány/</w:t>
      </w:r>
      <w:r w:rsidR="004A5B82">
        <w:rPr>
          <w:rFonts w:ascii="Times New Roman" w:hAnsi="Times New Roman" w:cs="Times New Roman"/>
          <w:sz w:val="24"/>
          <w:szCs w:val="24"/>
        </w:rPr>
        <w:t xml:space="preserve">; </w:t>
      </w:r>
      <w:r w:rsidRPr="00240FFB">
        <w:rPr>
          <w:rFonts w:ascii="Times New Roman" w:hAnsi="Times New Roman" w:cs="Times New Roman"/>
          <w:sz w:val="24"/>
          <w:szCs w:val="24"/>
        </w:rPr>
        <w:t>3 db eredeti haszonbérleti szerződés</w:t>
      </w:r>
    </w:p>
    <w:p w:rsidR="00240FFB" w:rsidRPr="00240FFB" w:rsidRDefault="00240FFB" w:rsidP="00240F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40FFB" w:rsidRPr="00240FFB" w:rsidRDefault="00240FFB" w:rsidP="00240F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40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FFB" w:rsidRDefault="00786E15" w:rsidP="00280EB1">
      <w:pPr>
        <w:pStyle w:val="Nincstrkz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E15">
        <w:rPr>
          <w:rFonts w:ascii="Times New Roman" w:hAnsi="Times New Roman" w:cs="Times New Roman"/>
          <w:b/>
          <w:sz w:val="24"/>
          <w:szCs w:val="24"/>
          <w:u w:val="single"/>
        </w:rPr>
        <w:t xml:space="preserve">Kereskedelmi üzlet működési engedélyezése: </w:t>
      </w:r>
      <w:r w:rsidRPr="00786E15">
        <w:rPr>
          <w:rFonts w:ascii="Times New Roman" w:hAnsi="Times New Roman" w:cs="Times New Roman"/>
          <w:sz w:val="24"/>
          <w:szCs w:val="24"/>
        </w:rPr>
        <w:t xml:space="preserve">A kereskedelemről szóló 2005. évi CLXIV. törvény (továbbiakban: </w:t>
      </w:r>
      <w:proofErr w:type="spellStart"/>
      <w:r w:rsidRPr="00786E15">
        <w:rPr>
          <w:rFonts w:ascii="Times New Roman" w:hAnsi="Times New Roman" w:cs="Times New Roman"/>
          <w:sz w:val="24"/>
          <w:szCs w:val="24"/>
        </w:rPr>
        <w:t>Kertv</w:t>
      </w:r>
      <w:proofErr w:type="spellEnd"/>
      <w:r w:rsidRPr="00786E15">
        <w:rPr>
          <w:rFonts w:ascii="Times New Roman" w:hAnsi="Times New Roman" w:cs="Times New Roman"/>
          <w:sz w:val="24"/>
          <w:szCs w:val="24"/>
        </w:rPr>
        <w:t xml:space="preserve">.), a szolgáltatási tevékenység megkezdésének és folytatásának általános szabályairól szóló 2009. évi LXXVI. törvény (továbbiakban. </w:t>
      </w:r>
      <w:proofErr w:type="spellStart"/>
      <w:r w:rsidRPr="00786E15">
        <w:rPr>
          <w:rFonts w:ascii="Times New Roman" w:hAnsi="Times New Roman" w:cs="Times New Roman"/>
          <w:sz w:val="24"/>
          <w:szCs w:val="24"/>
        </w:rPr>
        <w:t>Szolgtv</w:t>
      </w:r>
      <w:proofErr w:type="spellEnd"/>
      <w:r w:rsidRPr="00786E15">
        <w:rPr>
          <w:rFonts w:ascii="Times New Roman" w:hAnsi="Times New Roman" w:cs="Times New Roman"/>
          <w:sz w:val="24"/>
          <w:szCs w:val="24"/>
        </w:rPr>
        <w:t>.) és a kereskedelmi tevékenységek végzésének feltételeiről szóló 210/2009. (IX. 29.) Korm. rendelet (továbbiakban: Kr.) tartalmazza a bejelentés és működési engedély alapján gyakorolható kereskedelmi tevékenységek folytatásának szabályait.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E15">
        <w:rPr>
          <w:rFonts w:ascii="Times New Roman" w:hAnsi="Times New Roman" w:cs="Times New Roman"/>
          <w:sz w:val="24"/>
          <w:szCs w:val="24"/>
        </w:rPr>
        <w:t>Magyarország területén kereskedelmi tevékenységet végezni bejelentés-köteles kereskedelmi tevékenység esetén az illetékes jegyzőhöz történő bejelentést követően, üzletköteles termékek esetén jogerős működési engedély birtokában lehet.</w:t>
      </w:r>
    </w:p>
    <w:p w:rsidR="008330EF" w:rsidRPr="008330EF" w:rsidRDefault="008330EF" w:rsidP="008330EF">
      <w:pPr>
        <w:pStyle w:val="Nincstrkz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30EF">
        <w:rPr>
          <w:rFonts w:ascii="Times New Roman" w:hAnsi="Times New Roman" w:cs="Times New Roman"/>
          <w:sz w:val="24"/>
          <w:szCs w:val="24"/>
        </w:rPr>
        <w:t>A tevékenység típusától függően bejelentésre vagy engedélyre kötelezett a kereskedelmi tevékenységet végző vállalkozó. Emellett a fontosabb változásokat is haladéktalanul jeleznie kell a hatóságunknak, amely nyilvántartást vezet a területén folytatott kereskedelmi tevékenységekről.</w:t>
      </w:r>
    </w:p>
    <w:p w:rsidR="008330EF" w:rsidRPr="008330EF" w:rsidRDefault="008330EF" w:rsidP="008330EF">
      <w:pPr>
        <w:pStyle w:val="Nincstrkz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330EF" w:rsidRPr="008330EF" w:rsidRDefault="008330EF" w:rsidP="008330EF">
      <w:pPr>
        <w:pStyle w:val="Nincstrkz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30EF">
        <w:rPr>
          <w:rFonts w:ascii="Times New Roman" w:hAnsi="Times New Roman" w:cs="Times New Roman"/>
          <w:sz w:val="24"/>
          <w:szCs w:val="24"/>
        </w:rPr>
        <w:t>A bejelentéshez kötött kereskedelmi tevékenység esetén (210/2009. (IX.29.) Korm. rendelet 6. számú mellékletében felsorolt tevékenységek) a kereskedelmi tevékenység folytatója a tevékenység megkezdését megelőzően, a rendelet 1. számú melléklet A) részében meghatározott adattartalmú formanyomtatványon (ld. a képernyő jobb alsó sarkában) köteles a jegyzőnél írásban bejelenteni a folytatni kívánt kereskedelmi tevékenységet.</w:t>
      </w:r>
    </w:p>
    <w:p w:rsidR="008330EF" w:rsidRPr="008330EF" w:rsidRDefault="008330EF" w:rsidP="008330EF">
      <w:pPr>
        <w:pStyle w:val="Nincstrkz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330EF" w:rsidRDefault="008330EF" w:rsidP="008330EF">
      <w:pPr>
        <w:pStyle w:val="Nincstrkz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30EF">
        <w:rPr>
          <w:rFonts w:ascii="Times New Roman" w:hAnsi="Times New Roman" w:cs="Times New Roman"/>
          <w:sz w:val="24"/>
          <w:szCs w:val="24"/>
        </w:rPr>
        <w:t>A kizárólag üzletben forgalmazható termékkörök esetében (210/2009. (IX.29.) Korm. a rendelet 3. számú mellékletében felsorolt tevékenységek: pl.: tűz- és robbanásveszélyes termékek, festékek, lakkok, vegyszer, vegyi áru, lőszer, növény védőszer, állatgyógyászati termék forgalmazása) a működési engedély iránti kérelmet a vállalkozó a rendelet 1. számú mellékletének B) részében meghatározott adattartalmú formanyomtatványon kell a kereskedőnek a jegyzőnél benyújtania</w:t>
      </w:r>
    </w:p>
    <w:p w:rsidR="008330EF" w:rsidRDefault="008330EF" w:rsidP="008330EF">
      <w:pPr>
        <w:pStyle w:val="Nincstrkz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30EF">
        <w:rPr>
          <w:rFonts w:ascii="Times New Roman" w:hAnsi="Times New Roman" w:cs="Times New Roman"/>
          <w:sz w:val="24"/>
          <w:szCs w:val="24"/>
        </w:rPr>
        <w:lastRenderedPageBreak/>
        <w:t xml:space="preserve">2015. évi CCXXII. tv 9. § (1) </w:t>
      </w:r>
      <w:proofErr w:type="spellStart"/>
      <w:r w:rsidRPr="008330EF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8330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30EF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8330EF">
        <w:rPr>
          <w:rFonts w:ascii="Times New Roman" w:hAnsi="Times New Roman" w:cs="Times New Roman"/>
          <w:sz w:val="24"/>
          <w:szCs w:val="24"/>
        </w:rPr>
        <w:t>) pontja szerint elektronikus ügyintézésre kötelezett gazdálkodó szervezetek ipari és kereskedelmi kérelmeiket kizárólag cégkapun keresztül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0EF">
        <w:rPr>
          <w:rFonts w:ascii="Times New Roman" w:hAnsi="Times New Roman" w:cs="Times New Roman"/>
          <w:sz w:val="24"/>
          <w:szCs w:val="24"/>
        </w:rPr>
        <w:t>nyújthatják be hatóságunkhoz.</w:t>
      </w:r>
    </w:p>
    <w:p w:rsidR="008330EF" w:rsidRDefault="008330EF" w:rsidP="008330E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330EF" w:rsidRPr="008330EF" w:rsidRDefault="008330EF" w:rsidP="00060B3C">
      <w:pPr>
        <w:pStyle w:val="Nincstrkz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30EF">
        <w:rPr>
          <w:rFonts w:ascii="Times New Roman" w:hAnsi="Times New Roman" w:cs="Times New Roman"/>
          <w:b/>
          <w:sz w:val="24"/>
          <w:szCs w:val="24"/>
          <w:u w:val="single"/>
        </w:rPr>
        <w:t>Vadkár</w:t>
      </w:r>
      <w:r w:rsidRPr="008330EF">
        <w:rPr>
          <w:rFonts w:ascii="Times New Roman" w:hAnsi="Times New Roman" w:cs="Times New Roman"/>
          <w:sz w:val="24"/>
          <w:szCs w:val="24"/>
        </w:rPr>
        <w:t xml:space="preserve">: </w:t>
      </w:r>
      <w:r w:rsidRPr="008330EF">
        <w:rPr>
          <w:rFonts w:ascii="Times New Roman" w:hAnsi="Times New Roman" w:cs="Times New Roman"/>
          <w:sz w:val="24"/>
          <w:szCs w:val="24"/>
        </w:rPr>
        <w:t>Az eljárás a károsult bejelentésére indul.</w:t>
      </w:r>
      <w:r w:rsidRPr="008330EF">
        <w:rPr>
          <w:rFonts w:ascii="Times New Roman" w:hAnsi="Times New Roman" w:cs="Times New Roman"/>
          <w:sz w:val="24"/>
          <w:szCs w:val="24"/>
        </w:rPr>
        <w:t xml:space="preserve">  </w:t>
      </w:r>
      <w:r w:rsidRPr="008330EF">
        <w:rPr>
          <w:rFonts w:ascii="Times New Roman" w:hAnsi="Times New Roman" w:cs="Times New Roman"/>
          <w:sz w:val="24"/>
          <w:szCs w:val="24"/>
        </w:rPr>
        <w:t>Kötelező megtéríteni a gímszarvas, a dámszarvas, az őz, a vaddisznó, valamint a muflon által a mezőgazdaságban és az erdőgazdálkodásban, továbbá az őz, a mezei nyúl és a fácán által a szőlőben, a gyümölcsösben, a szántóföldön, az erdősítésben, valamint a csemetekertben okozott kár öt százalékot meghaladó részét (vadkár).</w:t>
      </w:r>
      <w:r w:rsidRPr="008330EF">
        <w:rPr>
          <w:rFonts w:ascii="Times New Roman" w:hAnsi="Times New Roman" w:cs="Times New Roman"/>
          <w:sz w:val="24"/>
          <w:szCs w:val="24"/>
        </w:rPr>
        <w:t xml:space="preserve">  </w:t>
      </w:r>
      <w:r w:rsidRPr="008330EF">
        <w:rPr>
          <w:rFonts w:ascii="Times New Roman" w:hAnsi="Times New Roman" w:cs="Times New Roman"/>
          <w:sz w:val="24"/>
          <w:szCs w:val="24"/>
        </w:rPr>
        <w:t>A vadkár megtérítésére az köteles, aki a kárt okozó vad vadászatára jogosult, és akinek vadászterületén a károkozás bekövetkezett, illetőleg akinek vadászterületéről a vad kiváltott.</w:t>
      </w:r>
      <w:r w:rsidRPr="008330EF">
        <w:rPr>
          <w:rFonts w:ascii="Times New Roman" w:hAnsi="Times New Roman" w:cs="Times New Roman"/>
          <w:sz w:val="24"/>
          <w:szCs w:val="24"/>
        </w:rPr>
        <w:t xml:space="preserve"> </w:t>
      </w:r>
      <w:r w:rsidRPr="008330EF">
        <w:rPr>
          <w:rFonts w:ascii="Times New Roman" w:hAnsi="Times New Roman" w:cs="Times New Roman"/>
          <w:sz w:val="24"/>
          <w:szCs w:val="24"/>
        </w:rPr>
        <w:t>Vadkár, vadászati kár, valamint vadban okozott kár megtérítését a kár bekövetkezésétől – folyamatos kártétel esetén az utolsó kártételtől – számított harminc napon belül lehet igényelni. A határidő elmulasztása esetén igazolásnak van helye.</w:t>
      </w:r>
      <w:r w:rsidRPr="008330EF">
        <w:rPr>
          <w:rFonts w:ascii="Times New Roman" w:hAnsi="Times New Roman" w:cs="Times New Roman"/>
          <w:sz w:val="24"/>
          <w:szCs w:val="24"/>
        </w:rPr>
        <w:t xml:space="preserve"> </w:t>
      </w:r>
      <w:r w:rsidRPr="008330EF">
        <w:rPr>
          <w:rFonts w:ascii="Times New Roman" w:hAnsi="Times New Roman" w:cs="Times New Roman"/>
          <w:sz w:val="24"/>
          <w:szCs w:val="24"/>
        </w:rPr>
        <w:t>A vadkár megállapítását – amennyiben a földhasználó és a vadászati jogosult nem tud megegyezni – meghatározott képesítéssel rendelkező kárszakértő végezheti. A szakértőt a jegyző nyolc napon belül rendeli ki, melynek költségeit a károsult földhasználó köteles megelőlegezni és azt jegyzői letétbe kell helyezni. (</w:t>
      </w:r>
      <w:proofErr w:type="spellStart"/>
      <w:r w:rsidRPr="008330EF">
        <w:rPr>
          <w:rFonts w:ascii="Times New Roman" w:hAnsi="Times New Roman" w:cs="Times New Roman"/>
          <w:sz w:val="24"/>
          <w:szCs w:val="24"/>
        </w:rPr>
        <w:t>Vtv</w:t>
      </w:r>
      <w:proofErr w:type="spellEnd"/>
      <w:r w:rsidRPr="008330EF">
        <w:rPr>
          <w:rFonts w:ascii="Times New Roman" w:hAnsi="Times New Roman" w:cs="Times New Roman"/>
          <w:sz w:val="24"/>
          <w:szCs w:val="24"/>
        </w:rPr>
        <w:t>. 81/A. § l) pontja)</w:t>
      </w:r>
      <w:r w:rsidRPr="008330EF">
        <w:rPr>
          <w:rFonts w:ascii="Times New Roman" w:hAnsi="Times New Roman" w:cs="Times New Roman"/>
          <w:sz w:val="24"/>
          <w:szCs w:val="24"/>
        </w:rPr>
        <w:t xml:space="preserve">. </w:t>
      </w:r>
      <w:r w:rsidRPr="008330EF">
        <w:rPr>
          <w:rFonts w:ascii="Times New Roman" w:hAnsi="Times New Roman" w:cs="Times New Roman"/>
          <w:sz w:val="24"/>
          <w:szCs w:val="24"/>
        </w:rPr>
        <w:t>A kárbecslés időpontjáról és helyéről – az azon való részvétel céljából – a jegyző az érdekelteket értesíti. A kárbecslést akkor is le kell folytatni, ha a kár bejelentése az előírt határidő után történt. Ha késedelmes bejelentés miatt a vadkár vagy mértékének megállapítása bizonytalanná válik, ezt a bejelentő terhére kell figyelembe venni.</w:t>
      </w:r>
      <w:r w:rsidRPr="008330EF">
        <w:rPr>
          <w:rFonts w:ascii="Times New Roman" w:hAnsi="Times New Roman" w:cs="Times New Roman"/>
          <w:sz w:val="24"/>
          <w:szCs w:val="24"/>
        </w:rPr>
        <w:t xml:space="preserve"> </w:t>
      </w:r>
      <w:r w:rsidRPr="008330EF">
        <w:rPr>
          <w:rFonts w:ascii="Times New Roman" w:hAnsi="Times New Roman" w:cs="Times New Roman"/>
          <w:sz w:val="24"/>
          <w:szCs w:val="24"/>
        </w:rPr>
        <w:t>A jegyző a szakértői vadkárbecslési jegyzőkönyvben foglaltak alapján egyezség létrehozását kísérli meg a felek között a kár megtérítésére vonatkozóan. Ha a felek között kötött egyezség megfelel a jogszabályokban foglalt feltételeknek, a jegyző az egyezséget határozatba foglalja és jóváhagyja. Ha a felek között nem jött létre egyezség vagy az nem hagyható jóvá, a jegyző az eljárást megszünteti.</w:t>
      </w:r>
      <w:r w:rsidRPr="008330EF">
        <w:rPr>
          <w:rFonts w:ascii="Times New Roman" w:hAnsi="Times New Roman" w:cs="Times New Roman"/>
          <w:sz w:val="24"/>
          <w:szCs w:val="24"/>
        </w:rPr>
        <w:t xml:space="preserve">  </w:t>
      </w:r>
      <w:r w:rsidRPr="008330EF">
        <w:rPr>
          <w:rFonts w:ascii="Times New Roman" w:hAnsi="Times New Roman" w:cs="Times New Roman"/>
          <w:sz w:val="24"/>
          <w:szCs w:val="24"/>
        </w:rPr>
        <w:t>A károsult az eljárást megszüntető végzés jogerőre emelkedésétől számított harminc napon belül kérheti a bíróságtól kárának megtérítését. A határidő elmulasztása jogvesztéssel jár!</w:t>
      </w:r>
      <w:r w:rsidRPr="008330EF">
        <w:rPr>
          <w:rFonts w:ascii="Times New Roman" w:hAnsi="Times New Roman" w:cs="Times New Roman"/>
          <w:sz w:val="24"/>
          <w:szCs w:val="24"/>
        </w:rPr>
        <w:t xml:space="preserve"> </w:t>
      </w:r>
      <w:r w:rsidRPr="008330EF">
        <w:rPr>
          <w:rFonts w:ascii="Times New Roman" w:hAnsi="Times New Roman" w:cs="Times New Roman"/>
          <w:sz w:val="24"/>
          <w:szCs w:val="24"/>
        </w:rPr>
        <w:t>A jegyző által kirendelt szakértő által lefolytatott vadkárbecslési eljárás – ideértve a jegyző által lefolytatott eljárás költségeit is – költségeinek megfizetésére – eltérő megállapodás hiányában – a Polgári perrendtartás költségviselésre vonatkozó szabályait kell megfelelően alkalmazni.</w:t>
      </w:r>
    </w:p>
    <w:p w:rsidR="00786E15" w:rsidRDefault="008330EF" w:rsidP="008330EF">
      <w:pPr>
        <w:pStyle w:val="Nincstrkz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330EF">
        <w:rPr>
          <w:rFonts w:ascii="Times New Roman" w:hAnsi="Times New Roman" w:cs="Times New Roman"/>
          <w:sz w:val="24"/>
          <w:szCs w:val="24"/>
        </w:rPr>
        <w:t>Az eljárás illetékköteles. A fizetendő eljárási illeték 3.000,</w:t>
      </w:r>
      <w:proofErr w:type="spellStart"/>
      <w:r w:rsidRPr="008330EF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8330EF">
        <w:rPr>
          <w:rFonts w:ascii="Times New Roman" w:hAnsi="Times New Roman" w:cs="Times New Roman"/>
          <w:sz w:val="24"/>
          <w:szCs w:val="24"/>
        </w:rPr>
        <w:t>, melyet illetékbélyegben kell a kérelem beadásakor leróni.</w:t>
      </w:r>
    </w:p>
    <w:p w:rsidR="008330EF" w:rsidRDefault="008330EF" w:rsidP="008330EF">
      <w:pPr>
        <w:pStyle w:val="Nincstrkz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330EF" w:rsidRDefault="008330EF" w:rsidP="00C25A9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25A9B" w:rsidRPr="00C25A9B" w:rsidRDefault="00C25A9B" w:rsidP="00C25A9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ügyben az ügyintézés helye: Regenyei Közös Önkormányzati Hivatal Görcsönyi Kirendeltsége 7833 Görcsöny, Rákóczi u. 1. </w:t>
      </w:r>
      <w:r w:rsidRPr="00C25A9B">
        <w:rPr>
          <w:rFonts w:ascii="Times New Roman" w:hAnsi="Times New Roman" w:cs="Times New Roman"/>
          <w:sz w:val="24"/>
          <w:szCs w:val="24"/>
        </w:rPr>
        <w:t>Tel: +3672 372 -215</w:t>
      </w:r>
    </w:p>
    <w:p w:rsidR="00C25A9B" w:rsidRPr="00C25A9B" w:rsidRDefault="00C25A9B" w:rsidP="00C25A9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25A9B">
        <w:rPr>
          <w:rFonts w:ascii="Times New Roman" w:hAnsi="Times New Roman" w:cs="Times New Roman"/>
          <w:sz w:val="24"/>
          <w:szCs w:val="24"/>
        </w:rPr>
        <w:t>Központi e-mail cím: gorcsony@t-online.hu</w:t>
      </w:r>
    </w:p>
    <w:p w:rsidR="00C25A9B" w:rsidRPr="00C25A9B" w:rsidRDefault="00C25A9B" w:rsidP="00C25A9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25A9B">
        <w:rPr>
          <w:rFonts w:ascii="Times New Roman" w:hAnsi="Times New Roman" w:cs="Times New Roman"/>
          <w:sz w:val="24"/>
          <w:szCs w:val="24"/>
        </w:rPr>
        <w:t xml:space="preserve">A Hivatal vezetője: Szauer </w:t>
      </w:r>
      <w:proofErr w:type="spellStart"/>
      <w:r w:rsidRPr="00C25A9B">
        <w:rPr>
          <w:rFonts w:ascii="Times New Roman" w:hAnsi="Times New Roman" w:cs="Times New Roman"/>
          <w:sz w:val="24"/>
          <w:szCs w:val="24"/>
        </w:rPr>
        <w:t>Timea</w:t>
      </w:r>
      <w:proofErr w:type="spellEnd"/>
      <w:r w:rsidRPr="00C25A9B">
        <w:rPr>
          <w:rFonts w:ascii="Times New Roman" w:hAnsi="Times New Roman" w:cs="Times New Roman"/>
          <w:sz w:val="24"/>
          <w:szCs w:val="24"/>
        </w:rPr>
        <w:t xml:space="preserve"> jegyző </w:t>
      </w:r>
    </w:p>
    <w:p w:rsidR="00C25A9B" w:rsidRPr="00C25A9B" w:rsidRDefault="00C25A9B" w:rsidP="00C25A9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25A9B">
        <w:rPr>
          <w:rFonts w:ascii="Times New Roman" w:hAnsi="Times New Roman" w:cs="Times New Roman"/>
          <w:sz w:val="24"/>
          <w:szCs w:val="24"/>
        </w:rPr>
        <w:t xml:space="preserve">Az ügyfélfogadás rendje: </w:t>
      </w:r>
    </w:p>
    <w:p w:rsidR="00C25A9B" w:rsidRPr="00C25A9B" w:rsidRDefault="00C25A9B" w:rsidP="00C25A9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25A9B" w:rsidRPr="00C25A9B" w:rsidRDefault="00C25A9B" w:rsidP="00C25A9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25A9B">
        <w:rPr>
          <w:rFonts w:ascii="Times New Roman" w:hAnsi="Times New Roman" w:cs="Times New Roman"/>
          <w:sz w:val="24"/>
          <w:szCs w:val="24"/>
        </w:rPr>
        <w:t xml:space="preserve">Hétfő: </w:t>
      </w:r>
      <w:r w:rsidRPr="00C25A9B">
        <w:rPr>
          <w:rFonts w:ascii="Times New Roman" w:hAnsi="Times New Roman" w:cs="Times New Roman"/>
          <w:sz w:val="24"/>
          <w:szCs w:val="24"/>
        </w:rPr>
        <w:tab/>
      </w:r>
      <w:r w:rsidRPr="00C25A9B">
        <w:rPr>
          <w:rFonts w:ascii="Times New Roman" w:hAnsi="Times New Roman" w:cs="Times New Roman"/>
          <w:sz w:val="24"/>
          <w:szCs w:val="24"/>
        </w:rPr>
        <w:tab/>
        <w:t>8.00 – 15.30</w:t>
      </w:r>
    </w:p>
    <w:p w:rsidR="00C25A9B" w:rsidRPr="00C25A9B" w:rsidRDefault="00C25A9B" w:rsidP="00C25A9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25A9B">
        <w:rPr>
          <w:rFonts w:ascii="Times New Roman" w:hAnsi="Times New Roman" w:cs="Times New Roman"/>
          <w:sz w:val="24"/>
          <w:szCs w:val="24"/>
        </w:rPr>
        <w:t xml:space="preserve">Szerda: </w:t>
      </w:r>
      <w:r w:rsidRPr="00C25A9B">
        <w:rPr>
          <w:rFonts w:ascii="Times New Roman" w:hAnsi="Times New Roman" w:cs="Times New Roman"/>
          <w:sz w:val="24"/>
          <w:szCs w:val="24"/>
        </w:rPr>
        <w:tab/>
        <w:t xml:space="preserve">8.00 – 15.30 </w:t>
      </w:r>
    </w:p>
    <w:p w:rsidR="00C25A9B" w:rsidRPr="00C25A9B" w:rsidRDefault="00C25A9B" w:rsidP="00C25A9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25A9B">
        <w:rPr>
          <w:rFonts w:ascii="Times New Roman" w:hAnsi="Times New Roman" w:cs="Times New Roman"/>
          <w:sz w:val="24"/>
          <w:szCs w:val="24"/>
        </w:rPr>
        <w:t xml:space="preserve">Csütörtök: </w:t>
      </w:r>
      <w:r w:rsidRPr="00C25A9B">
        <w:rPr>
          <w:rFonts w:ascii="Times New Roman" w:hAnsi="Times New Roman" w:cs="Times New Roman"/>
          <w:sz w:val="24"/>
          <w:szCs w:val="24"/>
        </w:rPr>
        <w:tab/>
        <w:t>8.00 – 12.00</w:t>
      </w:r>
    </w:p>
    <w:p w:rsidR="00C25A9B" w:rsidRPr="00C25A9B" w:rsidRDefault="00C25A9B" w:rsidP="00C25A9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25A9B">
        <w:rPr>
          <w:rFonts w:ascii="Times New Roman" w:hAnsi="Times New Roman" w:cs="Times New Roman"/>
          <w:sz w:val="24"/>
          <w:szCs w:val="24"/>
        </w:rPr>
        <w:t>Péntek:</w:t>
      </w:r>
      <w:r w:rsidRPr="00C25A9B">
        <w:rPr>
          <w:rFonts w:ascii="Times New Roman" w:hAnsi="Times New Roman" w:cs="Times New Roman"/>
          <w:sz w:val="24"/>
          <w:szCs w:val="24"/>
        </w:rPr>
        <w:tab/>
        <w:t>8.00 – 12.00</w:t>
      </w:r>
    </w:p>
    <w:p w:rsidR="00C25A9B" w:rsidRPr="00786E15" w:rsidRDefault="00C25A9B" w:rsidP="00C25A9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5A9B" w:rsidRPr="00786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73006"/>
    <w:multiLevelType w:val="multilevel"/>
    <w:tmpl w:val="F43E6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C5A622A"/>
    <w:multiLevelType w:val="hybridMultilevel"/>
    <w:tmpl w:val="3B4E854E"/>
    <w:lvl w:ilvl="0" w:tplc="F644290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8165B9"/>
    <w:multiLevelType w:val="hybridMultilevel"/>
    <w:tmpl w:val="8B46A740"/>
    <w:lvl w:ilvl="0" w:tplc="92542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4F593D"/>
    <w:multiLevelType w:val="hybridMultilevel"/>
    <w:tmpl w:val="9F16AFE0"/>
    <w:lvl w:ilvl="0" w:tplc="975E6D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B59C5"/>
    <w:multiLevelType w:val="hybridMultilevel"/>
    <w:tmpl w:val="B204F784"/>
    <w:lvl w:ilvl="0" w:tplc="B048263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B6"/>
    <w:rsid w:val="00240FFB"/>
    <w:rsid w:val="00291B47"/>
    <w:rsid w:val="00477FB1"/>
    <w:rsid w:val="004A5B82"/>
    <w:rsid w:val="005268B6"/>
    <w:rsid w:val="00595C37"/>
    <w:rsid w:val="00783D48"/>
    <w:rsid w:val="00786E15"/>
    <w:rsid w:val="008330EF"/>
    <w:rsid w:val="00C25A9B"/>
    <w:rsid w:val="00CE3E50"/>
    <w:rsid w:val="00E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6CEF0-A707-4EEF-AFC4-23D28171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77F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268B6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5268B6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77F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24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yarorszag.hu-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gyarorszag.hu-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csony@t-online.hu" TargetMode="External"/><Relationship Id="rId5" Type="http://schemas.openxmlformats.org/officeDocument/2006/relationships/hyperlink" Target="http://www.njt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2197</Words>
  <Characters>15164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ujgep</dc:creator>
  <cp:keywords/>
  <dc:description/>
  <cp:lastModifiedBy>Jegyzo ujgep</cp:lastModifiedBy>
  <cp:revision>5</cp:revision>
  <dcterms:created xsi:type="dcterms:W3CDTF">2021-02-03T11:19:00Z</dcterms:created>
  <dcterms:modified xsi:type="dcterms:W3CDTF">2021-02-03T12:43:00Z</dcterms:modified>
</cp:coreProperties>
</file>